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DB22" w14:textId="186BCA1E" w:rsidR="001F0BFD" w:rsidRDefault="001F0BFD" w:rsidP="001F0BFD">
      <w:pPr>
        <w:pStyle w:val="Style1"/>
      </w:pPr>
      <w:r>
        <w:t>Sources documentaires</w:t>
      </w:r>
      <w:r>
        <w:t xml:space="preserve"> des archives d’Indre-et-Loire</w:t>
      </w:r>
    </w:p>
    <w:p w14:paraId="7C9D5AE6" w14:textId="77777777" w:rsidR="001F0BFD" w:rsidRDefault="001F0BFD" w:rsidP="001F0BFD">
      <w:pPr>
        <w:pStyle w:val="Style1"/>
      </w:pPr>
    </w:p>
    <w:p w14:paraId="3BB5288F" w14:textId="6415CC9D" w:rsidR="001F0BFD" w:rsidRDefault="001F0BFD" w:rsidP="001F0BFD">
      <w:r>
        <w:t xml:space="preserve">Voici les </w:t>
      </w:r>
      <w:r>
        <w:t>cotes</w:t>
      </w:r>
      <w:r>
        <w:t xml:space="preserve"> mobilisées aux archives départementales et archives historiques et contemporaines de Tours :</w:t>
      </w:r>
    </w:p>
    <w:p w14:paraId="2FE1CB4B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Le code 1020188 ;</w:t>
      </w:r>
    </w:p>
    <w:p w14:paraId="0440D1D1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Le code 88J414 ;</w:t>
      </w:r>
    </w:p>
    <w:p w14:paraId="45BE0309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Le code 1511W316 ;</w:t>
      </w:r>
    </w:p>
    <w:p w14:paraId="25874E62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Le code 1511W311 ;</w:t>
      </w:r>
    </w:p>
    <w:p w14:paraId="52D6BE79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1511W312 ;</w:t>
      </w:r>
    </w:p>
    <w:p w14:paraId="1355FCA1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1511W317 ;</w:t>
      </w:r>
    </w:p>
    <w:p w14:paraId="64C969B4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1060W57 ;</w:t>
      </w:r>
    </w:p>
    <w:p w14:paraId="1DE90798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 xml:space="preserve">1020W240 </w:t>
      </w:r>
    </w:p>
    <w:p w14:paraId="0FD50699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1688W243-256 ;</w:t>
      </w:r>
    </w:p>
    <w:p w14:paraId="7A6ACDC8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228W48 ;</w:t>
      </w:r>
    </w:p>
    <w:p w14:paraId="6E656651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1511W310 ;</w:t>
      </w:r>
    </w:p>
    <w:p w14:paraId="43132A96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1511W315 ;</w:t>
      </w:r>
    </w:p>
    <w:p w14:paraId="51558B64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1511W314 ;</w:t>
      </w:r>
    </w:p>
    <w:p w14:paraId="59D15F6E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965W37 ;</w:t>
      </w:r>
    </w:p>
    <w:p w14:paraId="5046F293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1667W6 ;</w:t>
      </w:r>
    </w:p>
    <w:p w14:paraId="4CD4D5A8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1511W313.</w:t>
      </w:r>
    </w:p>
    <w:p w14:paraId="1C156939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1J51 à 53 (usine d’incinération de Tours – archives historiques-3 boîtes)</w:t>
      </w:r>
    </w:p>
    <w:p w14:paraId="7C72655A" w14:textId="77777777" w:rsidR="001F0BFD" w:rsidRDefault="001F0BFD" w:rsidP="001F0BFD">
      <w:pPr>
        <w:pStyle w:val="Paragraphedeliste"/>
        <w:numPr>
          <w:ilvl w:val="0"/>
          <w:numId w:val="1"/>
        </w:numPr>
      </w:pPr>
      <w:r>
        <w:t>4D2 (procès engagé par la ville de Tours contre la Compagnie général des travaux sanitaires pour l’usine d’incinération Saint-François de Tours).</w:t>
      </w:r>
    </w:p>
    <w:p w14:paraId="22A9E146" w14:textId="77777777" w:rsidR="002C4DDA" w:rsidRDefault="002C4DDA"/>
    <w:sectPr w:rsidR="002C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0F0"/>
    <w:multiLevelType w:val="hybridMultilevel"/>
    <w:tmpl w:val="2340D26C"/>
    <w:lvl w:ilvl="0" w:tplc="3A82F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FD"/>
    <w:rsid w:val="001F0BFD"/>
    <w:rsid w:val="002C4DDA"/>
    <w:rsid w:val="00A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7DC"/>
  <w15:chartTrackingRefBased/>
  <w15:docId w15:val="{61BADD75-CD15-4D02-8EE4-1555D88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BFD"/>
    <w:pPr>
      <w:ind w:left="720"/>
      <w:contextualSpacing/>
    </w:pPr>
  </w:style>
  <w:style w:type="paragraph" w:customStyle="1" w:styleId="Style1">
    <w:name w:val="Style1"/>
    <w:basedOn w:val="Normal"/>
    <w:qFormat/>
    <w:rsid w:val="001F0BFD"/>
    <w:pPr>
      <w:spacing w:after="0"/>
      <w:jc w:val="center"/>
    </w:pPr>
    <w:rPr>
      <w:rFonts w:asciiTheme="majorHAnsi" w:hAnsiTheme="majorHAnsi" w:cstheme="maj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</cp:revision>
  <dcterms:created xsi:type="dcterms:W3CDTF">2021-06-19T07:54:00Z</dcterms:created>
  <dcterms:modified xsi:type="dcterms:W3CDTF">2021-06-19T07:54:00Z</dcterms:modified>
</cp:coreProperties>
</file>